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BfWebG (Sachsen) — Inkrafttreten</w:t>
      </w:r>
    </w:p>
    <w:p>
      <w:r>
        <w:rPr>
          <w:color w:val="555555"/>
          <w:sz w:val="18"/>
        </w:rPr>
        <w:t xml:space="preserve">Barrierefreie-Websites-Gesetz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Dresden, den 10. April 2019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Die Staatsministerin für Soziales und Verbraucherschutz</w:t>
      </w:r>
    </w:p>
    <w:p>
      <w:r>
        <w:t xml:space="preserve">Barbara Klepsch</w:t>
      </w:r>
    </w:p>
    <w:p>
      <w:r>
        <w:rPr>
          <w:color w:val="555555"/>
          <w:sz w:val="17"/>
        </w:rPr>
        <w:t xml:space="preserve">Zitiervorschlag: § 7 BfWebG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https://recht.nulegal.eu/gesetze/BfWebG/7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