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BfWebG (Sachsen) — Umsetzungsfristen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dieses Gesetzes sind anzuwenden</w:t>
      </w:r>
    </w:p>
    <w:p>
      <w:r>
        <w:t xml:space="preserve">1. auf Websites öffentlicher Stellen, die nicht vor dem 23. September 2018 veröffentlicht wurden, ab dem 23. September 2019,</w:t>
      </w:r>
    </w:p>
    <w:p>
      <w:r>
        <w:t xml:space="preserve">2. auf alle Websites öffentlicher Stellen, die nicht unter Nummer 1 fallen, ab dem 23. September 2020,</w:t>
      </w:r>
    </w:p>
    <w:p>
      <w:r>
        <w:t xml:space="preserve">3. auf mobile Anwendungen öffentlicher Stellen ab dem 23. Juni 2021.</w:t>
      </w:r>
    </w:p>
    <w:p>
      <w:r>
        <w:rPr>
          <w:color w:val="555555"/>
          <w:sz w:val="17"/>
        </w:rPr>
        <w:t xml:space="preserve">Zitiervorschlag: § 6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