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BfWebG (Sachsen) — Verordnungsermächtigung</w:t>
      </w:r>
    </w:p>
    <w:p>
      <w:r>
        <w:rPr>
          <w:color w:val="555555"/>
          <w:sz w:val="18"/>
        </w:rPr>
        <w:t xml:space="preserve">Barrierefreie-Websites-Gesetz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Staatskanzlei erlässt im Einvernehmen mit dem Staatsministerium für Soziales und Verbraucherschutz, dem Staatsministerium für Kultus und dem Staatsministerium für Wissenschaft und Kunst durch Rechtsverordnung nähere Bestimmungen über</w:t>
      </w:r>
    </w:p>
    <w:p>
      <w:r>
        <w:t xml:space="preserve">1. die konkreten Anforderungen an die Erklärung zur Bar­rierefreiheit nach § 3,</w:t>
      </w:r>
    </w:p>
    <w:p>
      <w:r>
        <w:t xml:space="preserve">2. die Einzelheiten des Überwachungsverfahrens nach § 4 Absatz 1 Satz 2 Nummer 1,</w:t>
      </w:r>
    </w:p>
    <w:p>
      <w:r>
        <w:t xml:space="preserve">3. die konkreten Anforderungen an die Berichterstattung über den Stand der Barrierefreiheit nach § 4 Absatz 1 Satz 2 Nummer 3,</w:t>
      </w:r>
    </w:p>
    <w:p>
      <w:r>
        <w:t xml:space="preserve">4. die Einzelheiten des Durchsetzungsverfahrens nach § 4 Absatz 2 und</w:t>
      </w:r>
    </w:p>
    <w:p>
      <w:r>
        <w:t xml:space="preserve">5. Ausnahmen von § 2 Absatz 2.</w:t>
      </w:r>
    </w:p>
    <w:p>
      <w:r>
        <w:rPr>
          <w:color w:val="555555"/>
          <w:sz w:val="17"/>
        </w:rPr>
        <w:t xml:space="preserve">Zitiervorschlag: § 5 BfWebG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https://recht.nulegal.eu/gesetze/BfWebG/5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