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BfWebG (Sachsen) — Barrierefreie Informationstechnik öffentlicher Stellen</w:t>
      </w:r>
    </w:p>
    <w:p>
      <w:r>
        <w:rPr>
          <w:color w:val="555555"/>
          <w:sz w:val="18"/>
        </w:rPr>
        <w:t xml:space="preserve">Barrierefreie-Websites-Gesetz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Öffentliche Stellen gestalten Websites und mobile Anwendungen, einschließlich der für die Bediensteten bestimmten Angebote im Intranet, barrierefrei.</w:t>
      </w:r>
    </w:p>
    <w:p>
      <w:r>
        <w:t xml:space="preserve">(2) Für die barrierefreie Gestaltung der Websites und mobilen Anwendungen öffentlicher Stellen gilt § 3 Absatz 1 bis 3 der Barrierefreie-Informationstechnik-Verordnung vom 12. September 2011 (BGBl. I S. 1843), die zuletzt durch Artikel 1 der Verordnung vom 21. Mai 2019 (BGBl. I S. 738) geändert worden ist, in der jeweils geltenden Fassung, entsprechend. Öffentliche Stellen können auf Startseiten ihres Internet- und Intranetangebots die Erläuterungen gemäß § 4 der Barrierefreie-Informationstechnik-Verordnung bereitstellen.</w:t>
      </w:r>
    </w:p>
    <w:p>
      <w:r>
        <w:t xml:space="preserve">(3) Von der barrierefreien Gestaltung der Websites und mobilen Anwendungen können öffentliche Stellen in dem Ausmaß absehen, in dem dies für sie eine unverhältnismäßige organisatorische, finanzielle oder personelle Belastung darstellt.</w:t>
      </w:r>
    </w:p>
    <w:p>
      <w:r>
        <w:rPr>
          <w:color w:val="555555"/>
          <w:sz w:val="17"/>
        </w:rPr>
        <w:t xml:space="preserve">Zitiervorschlag: § 2 BfWebG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