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BfWebG (Sachsen) — Öffentliche Stellen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Öffentliche Stellen im Sinne dieses Gesetzes sind</w:t>
      </w:r>
    </w:p>
    <w:p>
      <w:r>
        <w:t xml:space="preserve">1. Behörden und Gerichte des Freistaates Sachsen sowie die der Aufsicht des Freistaates Sachsen unterstehenden Körperschaften, Anstalten und Stiftungen des öffentlichen Rechts,</w:t>
      </w:r>
    </w:p>
    <w:p>
      <w:r>
        <w:t xml:space="preserve">2. juristische Personen des privaten Rechts, die zu dem besonderen Zweck gegründet worden sind, im Allgemein­interesse liegende Aufgaben nicht gewerblicher Art zu erfüllen, wenn sie</w:t>
      </w:r>
    </w:p>
    <w:p>
      <w:r>
        <w:t xml:space="preserve">a)</w:t>
      </w:r>
    </w:p>
    <w:p>
      <w:r>
        <w:t xml:space="preserve">überwiegend von Stellen nach Nummer 1 finanziert werden,</w:t>
      </w:r>
    </w:p>
    <w:p>
      <w:r>
        <w:t xml:space="preserve">b)</w:t>
      </w:r>
    </w:p>
    <w:p>
      <w:r>
        <w:t xml:space="preserve">hinsichtlich ihrer Leitung der Aufsicht von Stellen nach Nummer 1 unterstehen oder</w:t>
      </w:r>
    </w:p>
    <w:p>
      <w:r>
        <w:t xml:space="preserve">c)</w:t>
      </w:r>
    </w:p>
    <w:p>
      <w:r>
        <w:t xml:space="preserve">ein Verwaltungs-, Leitungs- oder Aufsichtsorgan haben, das mehrheitlich aus Mitgliedern besteht, die von Stellen nach Nummer 1 ernannt worden sind,</w:t>
      </w:r>
    </w:p>
    <w:p>
      <w:r>
        <w:t xml:space="preserve">3. sonstige Vereinigungen, an denen mindestens eine öffentliche Stelle nach Nummer 1 oder Nummer 2 beteiligt ist, wenn</w:t>
      </w:r>
    </w:p>
    <w:p>
      <w:r>
        <w:t xml:space="preserve">a)</w:t>
      </w:r>
    </w:p>
    <w:p>
      <w:r>
        <w:t xml:space="preserve">die Vereinigung überwiegend von Stellen nach Nummer 1 finanziert wird,</w:t>
      </w:r>
    </w:p>
    <w:p>
      <w:r>
        <w:t xml:space="preserve">b)</w:t>
      </w:r>
    </w:p>
    <w:p>
      <w:r>
        <w:t xml:space="preserve">Stellen nach Nummer 1 die absolute Mehrheit der Anteile an der Vereinigung gehört oder</w:t>
      </w:r>
    </w:p>
    <w:p>
      <w:r>
        <w:t xml:space="preserve">c)</w:t>
      </w:r>
    </w:p>
    <w:p>
      <w:r>
        <w:t xml:space="preserve">Stellen nach Nummer 1 die absolute Mehrheit der Stimmen an der Vereinigung zusteht.</w:t>
      </w:r>
    </w:p>
    <w:p>
      <w:r>
        <w:t xml:space="preserve">Eine überwiegende Finanzierung durch Stellen nach Nummer 1 wird angenommen, wenn sie mehr als 50 Prozent der Gesamtheit der Mittel aufbringen.</w:t>
      </w:r>
    </w:p>
    <w:p>
      <w:r>
        <w:t xml:space="preserve">(2) Dieses Gesetz gilt nicht für die in Artikel 1 Absatz 3 der Richtlinie (EU) 2016/2102 des Europäischen Parlaments und des Rates vom 26. Oktober 2016 über den barrierefreien Zugang zu den Websites und mobilen Anwendungen öffentlicher Stellen (ABl. L 327 vom 2.12.2016, S. 1) genannten Websites und mobilen Anwendungen sowie für die in Artikel 1 Absatz 4 der Richtlinie (EU) 2016/2102 genannten Inhalte. Dieses Gesetz gilt nicht für Träger von Schulen in freier Trägerschaft.</w:t>
      </w:r>
    </w:p>
    <w:p>
      <w:r>
        <w:t xml:space="preserve">(3) Auf Websites und mobile Anwendungen von Schulen sowie Tageseinrichtungen nach § 22 Absatz 1 des Achten Buches Sozialgesetzbuch – Kinder- und Jugendhilfe – in der Fassung der Bekanntmachung vom 11. September 2012 (BGBl. I S. 2022), das zuletzt durch Artikel 2 des Gesetzes vom 19. Dezember 2018 (BGBl. I S. 2696) geändert worden ist, in der jeweils geltenden Fassung, sind die Bestimmungen dieses Gesetzes nicht anzuwenden, soweit sie keine wesentlichen Online-Verwaltungsfunktionen enthalten. Wesentliche Online-Verwaltungsfunktionen sind Verwaltungsverfahren im Sinne des § 1 Satz 1 des Gesetzes zur Regelung des Verwaltungsverfahrens- und des Verwaltungszustellungsrechts für den Freistaat Sachsen vom 19. Mai 2010 (SächsGVBl. S. 142), das durch Artikel 3 des Gesetzes vom 12. Juli 2013 (SächsGVBl. S. 503) geändert worden ist, in der jeweils geltenden Fassung, in Verbindung mit § 9 des Verwaltungsverfahrensgesetzes in der Fassung der Bekanntmachung vom 23. Januar 2003 (BGBl. I S. 102), das zuletzt durch Artikel 7 des Gesetzes vom 18. Dezember 2018 (BGBl. I S. 2639) geändert worden ist, in der jeweils geltenden Fassung, die bei der Schule oder Tageseinrichtung ausschließlich elek­tro­nisch abgewickelt werden können.</w:t>
      </w:r>
    </w:p>
    <w:p>
      <w:r>
        <w:rPr>
          <w:color w:val="555555"/>
          <w:sz w:val="17"/>
        </w:rPr>
        <w:t xml:space="preserve">Zitiervorschlag: § 1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