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BfRG — Satzung</w:t>
      </w:r>
    </w:p>
    <w:p>
      <w:r>
        <w:rPr>
          <w:color w:val="555555"/>
          <w:sz w:val="18"/>
        </w:rPr>
        <w:t xml:space="preserve">BfR-Gesetz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Direktorium erlässt mit der Mehrheit seiner Mitglieder eine Satzung für das Bundesinstitut; § 6 Abs. 4 ist nicht anzuwenden. Die Satzung bedarf der Genehmigung des Bundesministeriums und ist im Bundesanzeiger zu veröffentlichen. In die Satzung sind, soweit erforderlich, insbesondere Bestimmungen aufzunehmen über</w:t>
      </w:r>
    </w:p>
    <w:p>
      <w:pPr>
        <w:ind w:left="420"/>
      </w:pPr>
      <w:r>
        <w:t xml:space="preserve">1. die Rechte und Pflichten der Organe des Bundesinstitutes,</w:t>
      </w:r>
    </w:p>
    <w:p>
      <w:pPr>
        <w:ind w:left="420"/>
      </w:pPr>
      <w:r>
        <w:t xml:space="preserve">2. die Übertragung der Zeichnungsbefugnis an Beschäftigte des Bundesinstitutes,</w:t>
      </w:r>
    </w:p>
    <w:p>
      <w:pPr>
        <w:ind w:left="420"/>
      </w:pPr>
      <w:r>
        <w:t xml:space="preserve">3. den Aufbau des Bundesinstitutes,</w:t>
      </w:r>
    </w:p>
    <w:p>
      <w:pPr>
        <w:ind w:left="420"/>
      </w:pPr>
      <w:r>
        <w:t xml:space="preserve">4. die Haushaltsführung und Rechnungslegung.</w:t>
      </w:r>
    </w:p>
    <w:p>
      <w:r>
        <w:rPr>
          <w:color w:val="555555"/>
          <w:sz w:val="17"/>
        </w:rPr>
        <w:t xml:space="preserve">Zitiervorschlag: § 7 BfRG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https://recht.nulegal.eu/gesetze/BfRG/7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