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BfRG — Präsidentin oder Präsident</w:t>
      </w:r>
    </w:p>
    <w:p>
      <w:r>
        <w:rPr>
          <w:color w:val="555555"/>
          <w:sz w:val="18"/>
        </w:rPr>
        <w:t xml:space="preserve">BfR-Gesetz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Präsidentin oder der Präsident führt die Geschäfte in eigener Verantwortung nach Maßgabe dieses Gesetzes und der Satzung. Sie oder er vertritt das Bundesinstitut gerichtlich und außergerichtlich.</w:t>
      </w:r>
    </w:p>
    <w:p>
      <w:r>
        <w:t xml:space="preserve">(2) Die Präsidentin oder der Präsident hat eine ständige Vertreterin (Vizepräsidentin) oder einen ständigen Vertreter (Vizepräsident).</w:t>
      </w:r>
    </w:p>
    <w:p>
      <w:r>
        <w:rPr>
          <w:color w:val="555555"/>
          <w:sz w:val="17"/>
        </w:rPr>
        <w:t xml:space="preserve">Zitiervorschlag: § 5 BfRG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