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BfRG — Aufgabendurchführung</w:t>
      </w:r>
    </w:p>
    <w:p>
      <w:r>
        <w:rPr>
          <w:color w:val="555555"/>
          <w:sz w:val="18"/>
        </w:rPr>
        <w:t xml:space="preserve">BfR-Gesetz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Bundesinstitut erledigt im Rahmen der ihm durch § 2 Abs. 1 zugewiesenen Tätigkeiten die Verwaltungsaufgaben des Bundes, die dem Bundesinstitut durch Gesetz oder auf Grund eines Gesetzes zugewiesen sind.</w:t>
      </w:r>
    </w:p>
    <w:p>
      <w:r>
        <w:t xml:space="preserve">(2) Das Bundesinstitut erledigt, soweit keine andere Zuständigkeit gesetzlich festgelegt ist, Aufgaben des Bundes in seinem Tätigkeitsbereich, mit deren Durchführung das Bundesinstitut vom Bundesministerium beauftragt wird.</w:t>
      </w:r>
    </w:p>
    <w:p>
      <w:r>
        <w:rPr>
          <w:color w:val="555555"/>
          <w:sz w:val="17"/>
        </w:rPr>
        <w:t xml:space="preserve">Zitiervorschlag: § 3 BfRG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https://recht.nulegal.eu/gesetze/BfRG/3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