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BfRG — Übernahme der Beamtinnen und Beamten und der Arbeitnehmerinnen und Arbeitnehmer</w:t>
      </w:r>
    </w:p>
    <w:p>
      <w:r>
        <w:rPr>
          <w:color w:val="555555"/>
          <w:sz w:val="18"/>
        </w:rPr>
        <w:t xml:space="preserve">BfR-Gesetz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beim Bundesinstitut für gesundheitlichen Verbraucherschutz und Veterinärmedizin tätigen Beamtinnen und Beamten werden vorbehaltlich des § 7 Abs. 1 und 2 des BVL-Gesetzes mit dem Inkrafttreten dieses Gesetzes Beamtinnen und Beamte des Bundesinstitutes. § 136 Abs. 1 des Bundesbeamtengesetzes ist entsprechend anzuwenden.</w:t>
      </w:r>
    </w:p>
    <w:p>
      <w:r>
        <w:t xml:space="preserve">(2) Die beim Bundesinstitut für gesundheitlichen Verbraucherschutz und Veterinärmedizin tätigen Arbeitnehmerinnen und Arbeitnehmer sind vorbehaltlich des § 7 Abs. 3 und 4 des BVL-Gesetzes mit dem Inkrafttreten dieses Gesetzes in den Dienst des Bundesinstitutes übernommen.</w:t>
      </w:r>
    </w:p>
    <w:p>
      <w:r>
        <w:rPr>
          <w:color w:val="555555"/>
          <w:sz w:val="17"/>
        </w:rPr>
        <w:t xml:space="preserve">Zitiervorschlag: § 12 BfRG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https://recht.nulegal.eu/gesetze/BfRG/12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