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BfRBeihilfeAnO</w:t>
      </w:r>
    </w:p>
    <w:p>
      <w:r>
        <w:rPr>
          <w:color w:val="555555"/>
          <w:sz w:val="18"/>
        </w:rPr>
        <w:t xml:space="preserve">Anordnung des Bundesinstituts für Risikobewertung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31.01.2026 (konsolidierte Textfassung, kein amtliches Inkrafttretensdatum)</w:t>
      </w:r>
    </w:p>
    <w:p>
      <w:r>
        <w:t xml:space="preserve">Nach § 80 Absatz 6, § 126 Absatz 3 Satz 2 und § 127 Absatz 3 Satz 1 des Bundesbeamtengesetzes vom 5. Februar 2009 (BGBl. I S. 160), das zuletzt durch Artikel 8 des Gesetzes vom 11. Januar 2026 (BGBl. 2026 I Nr. 6) geändert worden ist, und § 56 Absatz 2 der Bundesbeihilfeverordnung vom 13. Februar 2009 (BGBl. I S. 326), die zuletzt durch Artikel 1 der Verordnung vom 14. Oktober 2025 (BGBl. 2025 I Nr. 240) geändert worden ist, ordnet das Bundesinstitut für Risikobewertung an:</w:t>
      </w:r>
    </w:p>
    <w:p>
      <w:r>
        <w:rPr>
          <w:color w:val="555555"/>
          <w:sz w:val="17"/>
        </w:rPr>
        <w:t xml:space="preserve">Zitiervorschlag: Eingangsformel BfRBeihilfeAnO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https://recht.nulegal.eu/gesetze/BfRBeihilfeAnO/eingangsformel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