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BfRBeihilfeAnO — Inkrafttreten</w:t>
      </w:r>
    </w:p>
    <w:p>
      <w:r>
        <w:rPr>
          <w:color w:val="555555"/>
          <w:sz w:val="18"/>
        </w:rPr>
        <w:t xml:space="preserve">Anordnung des Bundesinstituts für Risikobewertung zur Übertragung von Zuständigkeiten in Angelegenheiten der Beihilfe auf die Postbeamtenkrankenkasse</w:t>
      </w:r>
    </w:p>
    <w:p>
      <w:r>
        <w:rPr>
          <w:color w:val="555555"/>
          <w:sz w:val="18"/>
        </w:rPr>
        <w:t xml:space="preserve">Stand: 31.01.2026 (konsolidierte Textfassung, kein amtliches Inkrafttretensdatum)</w:t>
      </w:r>
    </w:p>
    <w:p>
      <w:r>
        <w:t xml:space="preserve">Diese Anordnung tritt am Tag nach der Verkündung in Kraft.</w:t>
      </w:r>
    </w:p>
    <w:p>
      <w:r>
        <w:rPr>
          <w:color w:val="555555"/>
          <w:sz w:val="17"/>
        </w:rPr>
        <w:t xml:space="preserve">Zitiervorschlag: § 5 BfRBeihilfeAnO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https://recht.nulegal.eu/gesetze/BfRBeihilfeAnO/5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