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BfRBeihilfeAnO — Vorbehalt des Selbsteintritts</w:t>
      </w:r>
    </w:p>
    <w:p>
      <w:r>
        <w:rPr>
          <w:color w:val="555555"/>
          <w:sz w:val="18"/>
        </w:rPr>
        <w:t xml:space="preserve">Anordnung des Bundesinstituts für Risikobewertung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31.01.2026 (konsolidierte Textfassung, kein amtliches Inkrafttretensdatum)</w:t>
      </w:r>
    </w:p>
    <w:p>
      <w:r>
        <w:t xml:space="preserve">Das Bundesinstitut für Risikobewertung behält sich vor, die Aufgaben und Befugnisse nach § 126 Absatz 3 und § 127 Absatz 1 des Bundesbeamtengesetzes im Einzelfall selbst auszuüben.</w:t>
      </w:r>
    </w:p>
    <w:p>
      <w:r>
        <w:rPr>
          <w:color w:val="555555"/>
          <w:sz w:val="17"/>
        </w:rPr>
        <w:t xml:space="preserve">Zitiervorschlag: § 4 BfRBeihilfeAnO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https://recht.nulegal.eu/gesetze/BfRBeihilfeAnO/4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