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BfRBeihilfeAnO — Vertretung des Dienstherrn bei Klagen in Beihilfeangelegenheiten</w:t>
      </w:r>
    </w:p>
    <w:p>
      <w:r>
        <w:rPr>
          <w:color w:val="555555"/>
          <w:sz w:val="18"/>
        </w:rPr>
        <w:t xml:space="preserve">Anordnung des Bundesinstituts für Risikobewertung zur Übertragung von Zuständigkeiten in Angelegenheiten der Beihilfe auf die Postbeamtenkrankenkasse</w:t>
      </w:r>
    </w:p>
    <w:p>
      <w:r>
        <w:rPr>
          <w:color w:val="555555"/>
          <w:sz w:val="18"/>
        </w:rPr>
        <w:t xml:space="preserve">Stand: 31.01.2026 (konsolidierte Textfassung, kein amtliches Inkrafttretensdatum)</w:t>
      </w:r>
    </w:p>
    <w:p>
      <w:r>
        <w:t xml:space="preserve">Der Postbeamtenkrankenkasse, vertreten durch den Vorstand, wird gemäß § 127 Absatz 3 Satz 1 des Bundesbeamtengesetzes die Vertretung des Bundesinstituts für Risikobewertung in gerichtlichen Verfahren der Beihilfeempfangenden des Bundesinstituts für Risikobewertung in Beihilfeangelegenheiten übertragen, soweit die Postbeamtenkrankenkasse nach dieser Anordnung für den Erlass des Widerspruchsbescheids zuständig war.</w:t>
      </w:r>
    </w:p>
    <w:p>
      <w:r>
        <w:rPr>
          <w:color w:val="555555"/>
          <w:sz w:val="17"/>
        </w:rPr>
        <w:t xml:space="preserve">Zitiervorschlag: § 3 BfRBeihilfeAnO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https://recht.nulegal.eu/gesetze/BfRBeihilfeAnO/3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