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BfJWidVertrAnO</w:t>
      </w:r>
    </w:p>
    <w:p>
      <w:r>
        <w:rPr>
          <w:color w:val="555555"/>
          <w:sz w:val="18"/>
        </w:rPr>
        <w:t xml:space="preserve">Anordnung zur Übertragung von Zuständigkeiten für den Erlass von Widerspruchsbescheiden und die Vertretung des Dienstherrn bei Klagen von Beamtinnen und Beamten des Bundesamts für Justiz in Angelegenheiten der Besoldung, des Dienstunfall-, Reisekosten-, Umzugskosten- und Trennungsgeldrechts</w:t>
      </w:r>
    </w:p>
    <w:p>
      <w:r>
        <w:rPr>
          <w:color w:val="555555"/>
          <w:sz w:val="18"/>
        </w:rPr>
        <w:t xml:space="preserve">Stand: 10.06.2019 (konsolidierte Textfassung, kein amtliches Inkrafttretensdatum)</w:t>
      </w:r>
    </w:p>
    <w:p>
      <w:r>
        <w:t xml:space="preserve">Nach § 126 Absatz 3 Satz 2 und § 127 Absatz 3 Satz 1 des Bundesbeamtengesetzes vom 5. Februar 2009 (BGBl. I S. 160) wird angeordnet:</w:t>
      </w:r>
    </w:p>
    <w:p>
      <w:r>
        <w:rPr>
          <w:color w:val="555555"/>
          <w:sz w:val="17"/>
        </w:rPr>
        <w:t xml:space="preserve">Zitiervorschlag: Eingangsformel BfJWidVertrAnO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https://recht.nulegal.eu/gesetze/BfJWidVertrAnO/eingangsformel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