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BfJG — Elektronische Kommunikation</w:t>
      </w:r>
    </w:p>
    <w:p>
      <w:r>
        <w:rPr>
          <w:color w:val="555555"/>
          <w:sz w:val="18"/>
        </w:rPr>
        <w:t xml:space="preserve">BfJG</w:t>
      </w:r>
    </w:p>
    <w:p>
      <w:r>
        <w:rPr>
          <w:color w:val="555555"/>
          <w:sz w:val="18"/>
        </w:rPr>
        <w:t xml:space="preserve">Stand: 11.07.2026 (konsolidierte Textfassung, kein amtliches Inkrafttretensdatum)</w:t>
      </w:r>
    </w:p>
    <w:p>
      <w:r>
        <w:t xml:space="preserve">(1) Beim Bundesamt können elektronische Dokumente eingereicht werden, wenn diese für die Bearbeitung im Bundesamt geeignet sind. Ist ein elektronisches Dokument für die Bearbeitung durch das Bundesamt nicht geeignet, ist dies dem Einsender unter Hinweis auf die Unwirksamkeit des Eingangs und auf die geltenden technischen Rahmenbedingungen unverzüglich mitzuteilen. Das elektronische Dokument gilt als zum Zeitpunkt seiner früheren Einreichung eingegangen, sofern der Einsender es unverzüglich in einer für das Bundesamt zur Bearbeitung geeigneten Form nachreicht und glaubhaft macht, dass es mit dem zuerst eingereichten Dokument inhaltlich übereinstimmt.</w:t>
      </w:r>
    </w:p>
    <w:p>
      <w:r>
        <w:t xml:space="preserve">(2) Wird dem Bundesamt ein Dokument, für das die schriftliche Form vorgeschrieben ist, elektronisch übermittelt, muss es mit einer qualifizierten elektronischen Signatur versehen sein. Die qualifizierte elektronische Signatur kann durch eine einfache Signatur ersetzt werden, wenn das elektronische Dokument auf einem sicheren Übermittlungsweg übermittelt wird.</w:t>
      </w:r>
    </w:p>
    <w:p>
      <w:r>
        <w:t xml:space="preserve">(3) Sichere Übermittlungswege sind:</w:t>
      </w:r>
    </w:p>
    <w:p>
      <w:pPr>
        <w:ind w:left="420"/>
      </w:pPr>
      <w:r>
        <w:t xml:space="preserve">1. der Übermittlungsweg zwischen den besonderen elektronischen Anwaltspostfächern nach den §§ 31a und 31b der Bundesrechtsanwaltsordnung oder einem entsprechenden, auf gesetzlicher Grundlage errichteten elektronischen Postfach und der elektronischen Poststelle des Bundesamts,</w:t>
      </w:r>
    </w:p>
    <w:p>
      <w:pPr>
        <w:ind w:left="420"/>
      </w:pPr>
      <w:r>
        <w:t xml:space="preserve">2. der Übermittlungsweg zwischen dem besonderen elektronischen Notarpostfach nach § 78n der Bundesnotarordnung und der elektronischen Poststelle des Bundesamts,</w:t>
      </w:r>
    </w:p>
    <w:p>
      <w:pPr>
        <w:ind w:left="420"/>
      </w:pPr>
      <w:r>
        <w:t xml:space="preserve">3. der Übermittlungsweg zwischen einem besonderen elektronischen Behördenpostfach nach § 6 der Elektronischer-Rechtsverkehr-Verordnung und der elektronischen Poststelle des Bundesamts.</w:t>
      </w:r>
    </w:p>
    <w:p>
      <w:r>
        <w:t xml:space="preserve">(4) Das Bundesamt kann elektronische Dokumente versenden, wenn die empfangende Stelle hierfür einen Zugang eröffnet hat.</w:t>
      </w:r>
    </w:p>
    <w:p>
      <w:r>
        <w:rPr>
          <w:color w:val="555555"/>
          <w:sz w:val="17"/>
        </w:rPr>
        <w:t xml:space="preserve">Zitiervorschlag: § 6 BfJG</w:t>
      </w:r>
    </w:p>
    <w:p>
      <w:r>
        <w:rPr>
          <w:color w:val="555555"/>
          <w:sz w:val="17"/>
        </w:rPr>
        <w:t xml:space="preserve">Quelle: Bundesamt für Justiz, abgerufen 11.07.2026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https://recht.nulegal.eu/gesetze/BfJG/6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