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BfJG — Elektronische Aktenführung; Gewährung von Akteneinsicht</w:t>
      </w:r>
    </w:p>
    <w:p>
      <w:r>
        <w:rPr>
          <w:color w:val="555555"/>
          <w:sz w:val="18"/>
        </w:rPr>
        <w:t xml:space="preserve">BfJG</w:t>
      </w:r>
    </w:p>
    <w:p>
      <w:r>
        <w:rPr>
          <w:color w:val="555555"/>
          <w:sz w:val="18"/>
        </w:rPr>
        <w:t xml:space="preserve">Stand: 11.07.2020 (konsolidierte Textfassung, kein amtliches Inkrafttretensdatum)</w:t>
      </w:r>
    </w:p>
    <w:p>
      <w:r>
        <w:t xml:space="preserve">(1) Das Bundesamt kann Akten ganz oder teilweise elektronisch führen.</w:t>
      </w:r>
    </w:p>
    <w:p>
      <w:r>
        <w:t xml:space="preserve">(2) Wird eine Akte ganz oder teilweise elektronisch geführt, ist durch geeignete technische und organisatorische Maßnahmen nach dem Stand der Technik sicherzustellen, dass die Grundsätze ordnungsgemäßer Aktenführung eingehalten werden.</w:t>
      </w:r>
    </w:p>
    <w:p>
      <w:r>
        <w:t xml:space="preserve">(3) Soweit ein Recht auf Akteneinsicht besteht, kann das Bundesamt Akteneinsicht in elektronisch geführte Akten dadurch gewähren, dass es</w:t>
      </w:r>
    </w:p>
    <w:p>
      <w:pPr>
        <w:ind w:left="420"/>
      </w:pPr>
      <w:r>
        <w:t xml:space="preserve">1. einen Aktenausdruck zur Verfügung stellt,</w:t>
      </w:r>
    </w:p>
    <w:p>
      <w:pPr>
        <w:ind w:left="420"/>
      </w:pPr>
      <w:r>
        <w:t xml:space="preserve">2. die elektronischen Dokumente auf einem Bildschirm wiedergibt,</w:t>
      </w:r>
    </w:p>
    <w:p>
      <w:pPr>
        <w:ind w:left="420"/>
      </w:pPr>
      <w:r>
        <w:t xml:space="preserve">3. die elektronischen Dokumente übermittelt oder</w:t>
      </w:r>
    </w:p>
    <w:p>
      <w:pPr>
        <w:ind w:left="420"/>
      </w:pPr>
      <w:r>
        <w:t xml:space="preserve">4. den elektronischen Zugriff auf den Inhalt der Akten gestattet.</w:t>
      </w:r>
    </w:p>
    <w:p>
      <w:r>
        <w:rPr>
          <w:color w:val="555555"/>
          <w:sz w:val="17"/>
        </w:rPr>
        <w:t xml:space="preserve">Zitiervorschlag: § 4 BfJG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https://recht.nulegal.eu/gesetze/BfJG/4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