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BfJEAktfKV</w:t>
      </w:r>
    </w:p>
    <w:p>
      <w:r>
        <w:rPr>
          <w:color w:val="555555"/>
          <w:sz w:val="18"/>
        </w:rPr>
        <w:t xml:space="preserve">Verordnung über die elektronische Aktenführung beim Bundesamt für Justiz und über die elektronische Kommunikation mit dem Bundesamt für Justiz</w:t>
      </w:r>
    </w:p>
    <w:p>
      <w:r>
        <w:rPr>
          <w:color w:val="555555"/>
          <w:sz w:val="18"/>
        </w:rPr>
        <w:t xml:space="preserve">Stand: 17.12.2020 (konsolidierte Textfassung, kein amtliches Inkrafttretensdatum)</w:t>
      </w:r>
    </w:p>
    <w:p>
      <w:r>
        <w:t xml:space="preserve">Auf Grund des § 7 Absatz 1 des Gesetzes über die Errichtung des Bundesamts für Justiz, der durch Artikel 4 Nummer 2 des Gesetzes vom 25. Juni 2020 (BGBl. I S. 1474) eingefügt worden ist, verordnet das Bundesministerium der Justiz und für Verbraucherschutz:</w:t>
      </w:r>
    </w:p>
    <w:p>
      <w:r>
        <w:rPr>
          <w:color w:val="555555"/>
          <w:sz w:val="17"/>
        </w:rPr>
        <w:t xml:space="preserve">Zitiervorschlag: Eingangsformel BfJEAktfKV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https://recht.nulegal.eu/gesetze/BfJEAktfKV/eingangsformel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