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BfJEAktfKV — Inkrafttreten</w:t>
      </w:r>
    </w:p>
    <w:p>
      <w:r>
        <w:rPr>
          <w:color w:val="555555"/>
          <w:sz w:val="18"/>
        </w:rPr>
        <w:t xml:space="preserve">Verordnung über die elektronische Aktenführung beim Bundesamt für Justiz und über die elektronische Kommunikation mit dem Bundesamt für Justiz</w:t>
      </w:r>
    </w:p>
    <w:p>
      <w:r>
        <w:rPr>
          <w:color w:val="555555"/>
          <w:sz w:val="18"/>
        </w:rPr>
        <w:t xml:space="preserve">Stand: 17.12.2020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8 BfJEAktfKV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https://recht.nulegal.eu/gesetze/BfJEAktfKV/8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