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BfJEAktfKV — Weitere sichere Übermittlungswege</w:t>
      </w:r>
    </w:p>
    <w:p>
      <w:r>
        <w:rPr>
          <w:color w:val="555555"/>
          <w:sz w:val="18"/>
        </w:rPr>
        <w:t xml:space="preserve">Verordnung über die elektronische Aktenführung beim Bundesamt für Justiz und über die elektronische Kommunikation mit dem Bundesamt für Justiz</w:t>
      </w:r>
    </w:p>
    <w:p>
      <w:r>
        <w:rPr>
          <w:color w:val="555555"/>
          <w:sz w:val="18"/>
        </w:rPr>
        <w:t xml:space="preserve">Stand: 17.12.2020 (konsolidierte Textfassung, kein amtliches Inkrafttretensdatum)</w:t>
      </w:r>
    </w:p>
    <w:p>
      <w:r>
        <w:t xml:space="preserve">(1) Ergänzend zu den in § 6 Absatz 3 des Gesetzes über die Errichtung des Bundesamts für Justiz aufgeführten sicheren Übermittlungswegen liegt ein sicherer Übermittlungsweg auch dann vor, wenn</w:t>
      </w:r>
    </w:p>
    <w:p>
      <w:pPr>
        <w:ind w:left="420"/>
      </w:pPr>
      <w:r>
        <w:t xml:space="preserve">1. ein verschlüsselter Übermittlungsweg auf der Grundlage des Protokollstandards „OSCI“ oder eines nach dem Stand der Technik vergleichbaren Standards genutzt wird und</w:t>
      </w:r>
    </w:p>
    <w:p>
      <w:pPr>
        <w:ind w:left="420"/>
      </w:pPr>
      <w:r>
        <w:t xml:space="preserve">2. das Bundesamt für diesen Übermittlungsweg festgestellt hat, dass die Integrität und Authentizität der Daten gewährleistet ist.</w:t>
      </w:r>
    </w:p>
    <w:p>
      <w:r>
        <w:t xml:space="preserve">(2) Das Bundesamt gibt weitere sichere Übermittlungswege auf seiner Internetseite www.bundesjustizamt.de bekannt.</w:t>
      </w:r>
    </w:p>
    <w:p>
      <w:r>
        <w:rPr>
          <w:color w:val="555555"/>
          <w:sz w:val="17"/>
        </w:rPr>
        <w:t xml:space="preserve">Zitiervorschlag: § 3 BfJEAktfKV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https://recht.nulegal.eu/gesetze/BfJEAktfKV/3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