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BfJEAktfKV — Übermittlung elektronischer Dokumente</w:t>
      </w:r>
    </w:p>
    <w:p>
      <w:r>
        <w:rPr>
          <w:color w:val="555555"/>
          <w:sz w:val="18"/>
        </w:rPr>
        <w:t xml:space="preserve">Verordnung über die elektronische Aktenführung beim Bundesamt für Justiz und über die elektronische Kommunikation mit dem Bundesamt für Justiz</w:t>
      </w:r>
    </w:p>
    <w:p>
      <w:r>
        <w:rPr>
          <w:color w:val="555555"/>
          <w:sz w:val="18"/>
        </w:rPr>
        <w:t xml:space="preserve">Stand: 17.12.2020 (konsolidierte Textfassung, kein amtliches Inkrafttretensdatum)</w:t>
      </w:r>
    </w:p>
    <w:p>
      <w:r>
        <w:t xml:space="preserve">Elektronische Dokumente sind dem Bundesamt in druckbarer, kopierbarer und, soweit technisch möglich, elektronisch durchsuchbarer Form zu übermitteln.</w:t>
      </w:r>
    </w:p>
    <w:p>
      <w:r>
        <w:rPr>
          <w:color w:val="555555"/>
          <w:sz w:val="17"/>
        </w:rPr>
        <w:t xml:space="preserve">Zitiervorschlag: § 2 BfJEAktfKV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https://recht.nulegal.eu/gesetze/BfJEAktfKV/2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