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BfArMWidVertrAnO</w:t>
      </w:r>
    </w:p>
    <w:p>
      <w:r>
        <w:rPr>
          <w:color w:val="555555"/>
          <w:sz w:val="18"/>
        </w:rPr>
        <w:t xml:space="preserve">Anordnung zur Übertragung der Zuständigkeit für den Erlass von Widerspruchsbescheiden und der Vertretung bei Klagen von Beamten des Bundesinstituts für Arzneimittel und Medizinprodukte in Angelegenheiten des Reisekosten-, Umzugskosten- und Trennungsgeldrechts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für Gesundheit an:</w:t>
      </w:r>
    </w:p>
    <w:p>
      <w:r>
        <w:rPr>
          <w:color w:val="555555"/>
          <w:sz w:val="17"/>
        </w:rPr>
        <w:t xml:space="preserve">Zitiervorschlag: Eingangsformel BfArMWidVertrAnO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https://recht.nulegal.eu/gesetze/BfArMWidVertrAnO/eingangsformel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