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BfAIPG — Schwerbehinderte Menschen</w:t>
      </w:r>
    </w:p>
    <w:p>
      <w:r>
        <w:rPr>
          <w:color w:val="555555"/>
          <w:sz w:val="18"/>
        </w:rPr>
        <w:t xml:space="preserve">BfAI-Personalgesetz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schwerbehinderte und diesen gleichgestellte behinderte Menschen, die nach § 2 Abs. 1 bei der Germany Trade and Invest – Gesellschaft für Außenwirtschaft und Standortmarketing mbH tätig sind, ist das Bundesamt für Wirtschaft und Ausfuhrkontrolle Arbeitgeber im Sinne des Teils 3 des Neunten Buches Sozialgesetzbuch.</w:t>
      </w:r>
    </w:p>
    <w:p>
      <w:r>
        <w:t xml:space="preserve">(2) Für die Anwendung der Vorschriften über die Schwerbehindertenvertretung in der Germany Trade and Invest – Gesellschaft für Außenwirtschaft und Standortmarketing mbH gelten schwerbehinderte und diesen gleichgestellte behinderte Menschen ungeachtet ihres Dienst- oder Arbeitsverhältnisses mit dem Bund als Beschäftigte der Germany Trade and Invest – Gesellschaft für Außenwirtschaft und Standortmarketing mbH. § 6 gilt entsprechend.</w:t>
      </w:r>
    </w:p>
    <w:p>
      <w:r>
        <w:rPr>
          <w:color w:val="555555"/>
          <w:sz w:val="17"/>
        </w:rPr>
        <w:t xml:space="preserve">Zitiervorschlag: § 7 BfAIPG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https://recht.nulegal.eu/gesetze/BfAIPG/7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