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BfAIPG — Personalvertretungs- und betriebsverfassungsrechtliche Zuständigkeiten</w:t>
      </w:r>
    </w:p>
    <w:p>
      <w:r>
        <w:rPr>
          <w:color w:val="555555"/>
          <w:sz w:val="18"/>
        </w:rPr>
        <w:t xml:space="preserve">BfAI-Personalgesetz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Personalrat des Bundesamtes für Wirtschaft und Ausfuhrkontrolle ist für diejenigen Personalangelegenheiten der in § 2 Abs. 1 genannten Beschäftigten nach dem Bundespersonalvertretungsgesetz zuständig, über die das Bundesamt für Wirtschaft und Ausfuhrkontrolle zu entscheiden hat.</w:t>
      </w:r>
    </w:p>
    <w:p>
      <w:r>
        <w:t xml:space="preserve">(2) In Angelegenheiten, in denen die Germany Trade and Invest – Gesellschaft für Außenwirtschaft und Standortmarketing mbH entscheidet, werden die Beteiligungsrechte nach dem Betriebsverfassungsgesetz vom Betriebsrat der Germany Trade and Invest – Gesellschaft für Außenwirtschaft und Standortmarketing mbH wahrgenommen.</w:t>
      </w:r>
    </w:p>
    <w:p>
      <w:r>
        <w:rPr>
          <w:color w:val="555555"/>
          <w:sz w:val="17"/>
        </w:rPr>
        <w:t xml:space="preserve">Zitiervorschlag: § 6 BfAIPG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https://recht.nulegal.eu/gesetze/BfAIPG/6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