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BfAIPG — Anwendbarkeit des Bundespersonalvertretungsgesetzes</w:t>
      </w:r>
    </w:p>
    <w:p>
      <w:r>
        <w:rPr>
          <w:color w:val="555555"/>
          <w:sz w:val="18"/>
        </w:rPr>
        <w:t xml:space="preserve">BfAI-Personalgesetz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Die in § 2 Abs. 1 genannten Beschäftigten gelten im Sinne des Bundespersonalvertretungsgesetzes als Beschäftigte des Bundesamtes für Wirtschaft und Ausfuhrkontrolle; sie sind aktiv und passiv wahlberechtigt. § 14 Absatz 2 Satz 4 des Bundespersonalvertretungsgesetzes ist nicht anzuwenden.</w:t>
      </w:r>
    </w:p>
    <w:p>
      <w:r>
        <w:rPr>
          <w:color w:val="555555"/>
          <w:sz w:val="17"/>
        </w:rPr>
        <w:t xml:space="preserve">Zitiervorschlag: § 4 BfAIPG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https://recht.nulegal.eu/gesetze/BfAIPG/4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