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BfAIPG — Entscheidungs- und Weisungsbefugnisse</w:t>
      </w:r>
    </w:p>
    <w:p>
      <w:r>
        <w:rPr>
          <w:color w:val="555555"/>
          <w:sz w:val="18"/>
        </w:rPr>
        <w:t xml:space="preserve">BfAI-Personalgesetz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Gegenüber den in § 2 Abs. 1 genannten Beschäftigten hat die Germany Trade and Invest – Gesellschaft für Außenwirtschaft und Standortmarketing mbH Entscheidungs- und Weisungsbefugnisse, soweit die Dienstausübung oder Tätigkeit in der Germany Trade and Invest – Gesellschaft für Außenwirtschaft und Standortmarketing mbH es erfordern. Die Geschäftsführung und von dieser benannte Beschäftigte der Germany Trade and Invest – Gesellschaft für Außenwirtschaft und Standortmarketing mbH üben insoweit die Befugnisse von Vorgesetzten aus. Die Dienstvorgesetztenbefugnisse nach § 3 Abs. 2 Satz 1 des Bundesbeamtengesetzes liegen bei der Präsidentin oder dem Präsidenten des Bundesamtes für Wirtschaft und Ausfuhrkontrolle. Weitere Einzelheiten der Ausübung der Entscheidungs- und Weisungsbefugnisse sind vertraglich zwischen dem Bundesamt für Wirtschaft und Ausfuhrkontrolle und der Germany Trade and Invest – Gesellschaft für Außenwirtschaft und Standortmarketing mbH zu regeln.</w:t>
      </w:r>
    </w:p>
    <w:p>
      <w:r>
        <w:rPr>
          <w:color w:val="555555"/>
          <w:sz w:val="17"/>
        </w:rPr>
        <w:t xml:space="preserve">Zitiervorschlag: § 3 BfAIPG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https://recht.nulegal.eu/gesetze/BfAIPG/3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