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BfAIPG — Anpassung von Rechtsvorschriften</w:t>
      </w:r>
    </w:p>
    <w:p>
      <w:r>
        <w:rPr>
          <w:color w:val="555555"/>
          <w:sz w:val="18"/>
        </w:rPr>
        <w:t xml:space="preserve">BfAI-Personalgesetz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11 BfAIPG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https://recht.nulegal.eu/gesetze/BfAIPG/11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