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muß Bestimmungen enthalten über</w:t>
      </w:r>
    </w:p>
    <w:p>
      <w:pPr>
        <w:ind w:left="420"/>
      </w:pPr>
      <w:r>
        <w:t xml:space="preserve">1. Mitgliederzahl, Rechte und Pflichten der Vertreterversammlung, Art der Beschlußfassung der Vertreterversammlung sowie ihre Vertretung nach außen,</w:t>
      </w:r>
    </w:p>
    <w:p>
      <w:pPr>
        <w:ind w:left="420"/>
      </w:pPr>
      <w:r>
        <w:t xml:space="preserve">2. Mitgliederzahl, Art der Beschlußfassung des Vorstands und seine Vertretung nach außen, Form der Willenserklärung des Vorstands sowie seiner Unterschrift für die Bundesversicherungsanstalt,</w:t>
      </w:r>
    </w:p>
    <w:p>
      <w:r>
        <w:t xml:space="preserve">3. 4.</w:t>
      </w:r>
    </w:p>
    <w:p>
      <w:pPr>
        <w:ind w:left="420"/>
      </w:pPr>
      <w:r>
        <w:t xml:space="preserve">5. Bildung von Ausschüssen der Organe,</w:t>
      </w:r>
    </w:p>
    <w:p>
      <w:pPr>
        <w:ind w:left="420"/>
      </w:pPr>
      <w:r>
        <w:t xml:space="preserve">6. Versichertenälteste, Vertrauenspersonen, ihre Wahl und ihre Befugnisse,</w:t>
      </w:r>
    </w:p>
    <w:p>
      <w:r>
        <w:t xml:space="preserve">7. 8.</w:t>
      </w:r>
    </w:p>
    <w:p>
      <w:pPr>
        <w:ind w:left="420"/>
      </w:pPr>
      <w:r>
        <w:t xml:space="preserve">9. Art der Bekanntmachungen,</w:t>
      </w:r>
    </w:p>
    <w:p>
      <w:r>
        <w:t xml:space="preserve">10.</w:t>
      </w:r>
    </w:p>
    <w:p>
      <w:r>
        <w:rPr>
          <w:color w:val="555555"/>
          <w:sz w:val="17"/>
        </w:rPr>
        <w:t xml:space="preserve">Zitiervorschlag: § 8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