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nach Maßgabe des § 13 Abs. 1 des Gesetzes über die Stellung des Landes Berlin im Finanzsystem des Bundes (Drittes Überleitungsgesetz) vom 4. Januar 1952 (Bundesgesetzbl. I S. 1) auch im Land Berlin.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33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