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BfAG</w:t>
      </w:r>
    </w:p>
    <w:p>
      <w:r>
        <w:rPr>
          <w:color w:val="555555"/>
          <w:sz w:val="18"/>
        </w:rPr>
        <w:t xml:space="preserve">Gesetz über die Errichtung der Bundesversicherungsanstalt für Angestellte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Wirksamkeit von rechtsgeschäftlichen Verfügungen, die über Vermögensrechte der in § 19 Abs. 1 und 2 bezeichneten Art vor dem Zeitpunkt des Inkrafttretens dieses Gesetzes getroffen worden sind, bleibt unberührt.</w:t>
      </w:r>
    </w:p>
    <w:p>
      <w:r>
        <w:t xml:space="preserve">(2) Dingliche Rechte an Grundstücken und sonstigen Sachen und Rechten, die unter § 19 Abs. 1 und 2 fallen, bleiben bestehen.</w:t>
      </w:r>
    </w:p>
    <w:p>
      <w:r>
        <w:rPr>
          <w:color w:val="555555"/>
          <w:sz w:val="17"/>
        </w:rPr>
        <w:t xml:space="preserve">Zitiervorschlag: § 20 BfAG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