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BfAG</w:t>
      </w:r>
    </w:p>
    <w:p>
      <w:r>
        <w:rPr>
          <w:color w:val="555555"/>
          <w:sz w:val="18"/>
        </w:rPr>
        <w:t xml:space="preserve">Gesetz über die Errichtung der Bundesversicherungsanstalt für Angestellte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Bundespräsident ernennt die nach den Vorschriften des Selbstverwaltungsgesetzes gewählten Mitglieder der Geschäftsführung auf Vorschlag der Bundesregierung unter Berufung in das Beamtenverhältnis auf Lebenszeit.</w:t>
      </w:r>
    </w:p>
    <w:p>
      <w:r>
        <w:t xml:space="preserve">(2) Der Bundesminister für Arbeit und Soziales ernennt die übrigen Beamten auf Vorschlag des Vorstands; er kann seine Befugnis auf den Vorstand übertragen. Soweit die Ernennungsbefugnis auf den Vorstand übertragen wird, bestimmt die Satzung, durch wen die Ernennungsurkunde zu vollziehen ist.</w:t>
      </w:r>
    </w:p>
    <w:p>
      <w:r>
        <w:rPr>
          <w:color w:val="555555"/>
          <w:sz w:val="17"/>
        </w:rPr>
        <w:t xml:space="preserve">Zitiervorschlag: § 11 BfAG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