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BfAAG — Fortgeltung der Dienstvereinbarungen</w:t>
      </w:r>
    </w:p>
    <w:p>
      <w:r>
        <w:rPr>
          <w:color w:val="555555"/>
          <w:sz w:val="18"/>
        </w:rPr>
        <w:t xml:space="preserve">Gesetz über die Errichtung eines Bundesamts für Auswärtige Angelegenheiten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Die im Auswärtigen Amt geltenden Dienstvereinbarungen gelten ab dem 1. Januar 2021 auch für das Bundesamt, solange sie nicht durch andere Regelungen im Bundesamt ersetzt werden.</w:t>
      </w:r>
    </w:p>
    <w:p>
      <w:r>
        <w:rPr>
          <w:color w:val="555555"/>
          <w:sz w:val="17"/>
        </w:rPr>
        <w:t xml:space="preserve">Zitiervorschlag: § 9 BfAAG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