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BfAAG — Entsprechende Anwendung von Vorschriften des Gesetzes über den Auswärtigen Dienst</w:t>
      </w:r>
    </w:p>
    <w:p>
      <w:r>
        <w:rPr>
          <w:color w:val="555555"/>
          <w:sz w:val="18"/>
        </w:rPr>
        <w:t xml:space="preserve">Gesetz über die Errichtung eines Bundesamts für Auswärtige Angelegenheiten</w:t>
      </w:r>
    </w:p>
    <w:p>
      <w:r>
        <w:rPr>
          <w:color w:val="555555"/>
          <w:sz w:val="18"/>
        </w:rPr>
        <w:t xml:space="preserve">Stand: 24.06.2020 (konsolidierte Textfassung, kein amtliches Inkrafttretensdatum)</w:t>
      </w:r>
    </w:p>
    <w:p>
      <w:r>
        <w:t xml:space="preserve">§ 13 Absatz 2 und 3, die §§ 19, 21 Absatz 1, § 24 Absatz 1 und § 30 des Gesetzes über den Auswärtigen Dienst vom 30. August 1990 (BGBl. I S. 1842), das zuletzt durch Artikel 14 des Gesetzes vom 12. Dezember 2019 (BGBl. I S. 2652) geändert worden ist, gelten entsprechend.</w:t>
      </w:r>
    </w:p>
    <w:p>
      <w:r>
        <w:rPr>
          <w:color w:val="555555"/>
          <w:sz w:val="17"/>
        </w:rPr>
        <w:t xml:space="preserve">Zitiervorschlag: § 4 BfAAG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https://recht.nulegal.eu/gesetze/BfAAG/4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