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BfAAG — Errichtung und Sitz des Bundesamts</w:t>
      </w:r>
    </w:p>
    <w:p>
      <w:r>
        <w:rPr>
          <w:color w:val="555555"/>
          <w:sz w:val="18"/>
        </w:rPr>
        <w:t xml:space="preserve">Gesetz über die Errichtung eines Bundesamts für Auswärtige Angelegenheiten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(1) Zum 1. Januar 2021 wird das Bundesamt für Auswärtige Angelegenheiten (Bundesamt) errichtet.</w:t>
      </w:r>
    </w:p>
    <w:p>
      <w:r>
        <w:t xml:space="preserve">(2) Das Bundesamt untersteht dem Auswärtigen Amt.</w:t>
      </w:r>
    </w:p>
    <w:p>
      <w:r>
        <w:t xml:space="preserve">(3) Das Bundesamt hat seinen Sitz in Brandenburg an der Havel.</w:t>
      </w:r>
    </w:p>
    <w:p>
      <w:r>
        <w:rPr>
          <w:color w:val="555555"/>
          <w:sz w:val="17"/>
        </w:rPr>
        <w:t xml:space="preserve">Zitiervorschlag: § 1 BfAAG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