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BfAAErnAnO</w:t>
      </w:r>
    </w:p>
    <w:p>
      <w:r>
        <w:rPr>
          <w:color w:val="555555"/>
          <w:sz w:val="18"/>
        </w:rPr>
        <w:t xml:space="preserve">Anordnung über die Befugnisse zur Ernennung und Entlassung der Beamtinnen und Beamten des Bundesamts für Auswärtige Angelegenheiten</w:t>
      </w:r>
    </w:p>
    <w:p>
      <w:r>
        <w:rPr>
          <w:color w:val="555555"/>
          <w:sz w:val="18"/>
        </w:rPr>
        <w:t xml:space="preserve">Stand: 16.03.2024 (konsolidierte Textfassung, kein amtliches Inkrafttretensdatum)</w:t>
      </w:r>
    </w:p>
    <w:p>
      <w:r>
        <w:t xml:space="preserve">Für besondere Fälle behält sich das Auswärtige Amt die Ernennung und Entlassung der unter Abschnitt I genannten Bundesbeamtinnen und Bundesbeamten vor.</w:t>
      </w:r>
    </w:p>
    <w:p>
      <w:r>
        <w:rPr>
          <w:color w:val="555555"/>
          <w:sz w:val="17"/>
        </w:rPr>
        <w:t xml:space="preserve">Zitiervorschlag: II. BfAAErnAnO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https://recht.nulegal.eu/gesetze/BfAAErnAnO/ii.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