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BfAAErnAnO</w:t>
      </w:r>
    </w:p>
    <w:p>
      <w:r>
        <w:rPr>
          <w:color w:val="555555"/>
          <w:sz w:val="18"/>
        </w:rPr>
        <w:t xml:space="preserve">Anordnung über die Befugnisse zur Ernennung und Entlassung der Beamtinnen und Beamten des Bundesamts für Auswärtige Angelegenheiten</w:t>
      </w:r>
    </w:p>
    <w:p>
      <w:r>
        <w:rPr>
          <w:color w:val="555555"/>
          <w:sz w:val="18"/>
        </w:rPr>
        <w:t xml:space="preserve">Stand: 16.03.2024 (konsolidierte Textfassung, kein amtliches Inkrafttretensdatum)</w:t>
      </w:r>
    </w:p>
    <w:p>
      <w:r>
        <w:t xml:space="preserve">Auf die Präsidentin oder den Präsidenten des Bundesamts für Auswärtige Angelegenheiten wird für ihren oder seinen Geschäftsbereich die Befugnis zur Ernennung und Entlassung der Bundesbeamtinnen und Bundesbeamten der Besoldungsgruppen bis einschließlich A 15 übertragen.</w:t>
      </w:r>
    </w:p>
    <w:p>
      <w:r>
        <w:rPr>
          <w:color w:val="555555"/>
          <w:sz w:val="17"/>
        </w:rPr>
        <w:t xml:space="preserve">Zitiervorschlag: I. BfAAErnAnO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https://recht.nulegal.eu/gesetze/BfAAErnAnO/i.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BfAAErnAnO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