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BfAAErnAnO</w:t>
      </w:r>
    </w:p>
    <w:p>
      <w:r>
        <w:rPr>
          <w:color w:val="555555"/>
          <w:sz w:val="18"/>
        </w:rPr>
        <w:t xml:space="preserve">Anordnung über die Befugnisse zur Ernennung und Entlassung der Beamtinnen und Beamten des Bundesamts für Auswärtige Angelegenheiten</w:t>
      </w:r>
    </w:p>
    <w:p>
      <w:r>
        <w:rPr>
          <w:color w:val="555555"/>
          <w:sz w:val="18"/>
        </w:rPr>
        <w:t xml:space="preserve">Stand: 16.03.2024 (konsolidierte Textfassung, kein amtliches Inkrafttretensdatum)</w:t>
      </w:r>
    </w:p>
    <w:p>
      <w:r>
        <w:t xml:space="preserve">Das Auswärtige Amt erlässt nach Artikel 1 Absatz 1 der Anordnung des Bundespräsidenten über die Ernennung und Entlassung der Beamtinnen, Beamten, Richterinnen und Richter des Bundes vom 23. Juni 2004 (BGBl. I S. 1286) die folgende Anordnung:</w:t>
      </w:r>
    </w:p>
    <w:p>
      <w:r>
        <w:rPr>
          <w:color w:val="555555"/>
          <w:sz w:val="17"/>
        </w:rPr>
        <w:t xml:space="preserve">Zitiervorschlag: Eingangsformel BfAAErnAnO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https://recht.nulegal.eu/gesetze/BfAAErnAnO/eingangsformel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