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BfAAÜbertrAnO</w:t>
      </w:r>
    </w:p>
    <w:p>
      <w:r>
        <w:rPr>
          <w:color w:val="555555"/>
          <w:sz w:val="18"/>
        </w:rPr>
        <w:t xml:space="preserve">Anordnung zur Übertragung von Zuständigkeiten für den Erlass von Bescheiden und Widerspruchsbescheiden und die Vertretung des Dienstherrn bei Klagen von Bediensteten des Bundesamts für Auswärtige Angelegenheiten auf das Bundesverwaltungsamt</w:t>
      </w:r>
    </w:p>
    <w:p>
      <w:r>
        <w:rPr>
          <w:color w:val="555555"/>
          <w:sz w:val="18"/>
        </w:rPr>
        <w:t xml:space="preserve">Stand: 21.06.2024 (konsolidierte Textfassung, kein amtliches Inkrafttretensdatum)</w:t>
      </w:r>
    </w:p>
    <w:p>
      <w:r>
        <w:t xml:space="preserve">Nach § 126 Absatz 3 Satz 2 und § 127 Absatz 3 Satz 1 des Bundesbeamtengesetzes vom 5. Februar 2009 (BGBl. I S. 160) ordnet das Auswärtige Amt im Einvernehmen mit dem Bundesministerium des Innern und für Heimat an:</w:t>
      </w:r>
    </w:p>
    <w:p>
      <w:r>
        <w:rPr>
          <w:color w:val="555555"/>
          <w:sz w:val="17"/>
        </w:rPr>
        <w:t xml:space="preserve">Zitiervorschlag: Eingangsformel BfAAÜbertrAnO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https://recht.nulegal.eu/gesetze/BfAA%C3%9CbertrAnO/eingangsformel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