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BfAAÜbertrAnO — Inkrafttreten</w:t>
      </w:r>
    </w:p>
    <w:p>
      <w:r>
        <w:rPr>
          <w:color w:val="555555"/>
          <w:sz w:val="18"/>
        </w:rPr>
        <w:t xml:space="preserve">Anordnung zur Übertragung von Zuständigkeiten für den Erlass von Bescheiden und Widerspruchsbescheiden und die Vertretung des Dienstherrn bei Klagen von Bediensteten des Bundesamts für Auswärtige Angelegenheiten auf das Bundesverwaltungsamt</w:t>
      </w:r>
    </w:p>
    <w:p>
      <w:r>
        <w:rPr>
          <w:color w:val="555555"/>
          <w:sz w:val="18"/>
        </w:rPr>
        <w:t xml:space="preserve">Stand: 21.06.2024 (konsolidierte Textfassung, kein amtliches Inkrafttretensdatum)</w:t>
      </w:r>
    </w:p>
    <w:p>
      <w:r>
        <w:t xml:space="preserve">(1) Diese Anordnung tritt für die Festsetzung von Reise- und Umzugskosten mit Wirkung vom 1. Januar 2021 in Kraft.</w:t>
      </w:r>
    </w:p>
    <w:p>
      <w:r>
        <w:t xml:space="preserve">(2) Diese Anordnung tritt für die Festsetzung von Betreuungskosten sowie für das Widerspruchs- und Klageverfahren von Betreuungskostenangelegenheiten mit Wirkung vom 1. Mai 2022 in Kraft.</w:t>
      </w:r>
    </w:p>
    <w:p>
      <w:r>
        <w:t xml:space="preserve">(3) Diese Anordnung tritt für die Festsetzung von Trennungsgeld Inland sowie für das Widerspruchs- und Klageverfahren von Trennungsgeldangelegenheiten mit Wirkung vom 1. September 2021 in Kraft.</w:t>
      </w:r>
    </w:p>
    <w:p>
      <w:r>
        <w:t xml:space="preserve">(4) Diese Anordnung tritt für die Festsetzung von Schadensersatzansprüchen sowie für das Widerspruchs- und Klageverfahren von Schadensersatzangelegenheiten mit Wirkung vom 1. Januar 2022 in Kraft.</w:t>
      </w:r>
    </w:p>
    <w:p>
      <w:r>
        <w:rPr>
          <w:color w:val="555555"/>
          <w:sz w:val="17"/>
        </w:rPr>
        <w:t xml:space="preserve">Zitiervorschlag: § 2 BfAAÜbertrAnO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https://recht.nulegal.eu/gesetze/BfAA%C3%9CbertrAnO/2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