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BföV — Lehrgänge an Bundeswehrfachschulen</w:t>
      </w:r>
    </w:p>
    <w:p>
      <w:r>
        <w:rPr>
          <w:color w:val="555555"/>
          <w:sz w:val="18"/>
        </w:rPr>
        <w:t xml:space="preserve">Berufsförderungsverordnung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An Bundeswehrfachschulen können folgende Lehrgänge durchgeführt werden:</w:t>
      </w:r>
    </w:p>
    <w:p>
      <w:pPr>
        <w:ind w:left="420"/>
      </w:pPr>
      <w:r>
        <w:t xml:space="preserve">1. Grundlehrgang von einem Studienhalbjahr zur Vorbereitung auf einen Lehrgang nach den Nummern 4, 5 oder 8 sowie zur Vorbereitung auf Maßnahmen der beruflichen Bildung,</w:t>
      </w:r>
    </w:p>
    <w:p>
      <w:pPr>
        <w:ind w:left="420"/>
      </w:pPr>
      <w:r>
        <w:t xml:space="preserve">2. Berufsbildungslehrgang von einem Studienhalbjahr zur Vorbereitung auf Berufsbildungsmaßnahmen und zur Eingliederung in das Berufsleben,</w:t>
      </w:r>
    </w:p>
    <w:p>
      <w:pPr>
        <w:ind w:left="420"/>
      </w:pPr>
      <w:r>
        <w:t xml:space="preserve">3. Vorkurs von einem Studienhalbjahr zur Vorbereitung auf einen Lehrgang nach Nummer 6 sowie auf Berufsbildungsmaßnahmen,</w:t>
      </w:r>
    </w:p>
    <w:p>
      <w:pPr>
        <w:ind w:left="420"/>
      </w:pPr>
      <w:r>
        <w:t xml:space="preserve">4. Lehrgang von zwei Studienhalbjahren zur Erlangung des Realschulabschlusses,</w:t>
      </w:r>
    </w:p>
    <w:p>
      <w:pPr>
        <w:ind w:left="420"/>
      </w:pPr>
      <w:r>
        <w:t xml:space="preserve">5. Lehrgang von zwei Studienhalbjahren in bestimmten Fachrichtungen zur Erlangung der Fachschulreife,</w:t>
      </w:r>
    </w:p>
    <w:p>
      <w:pPr>
        <w:ind w:left="420"/>
      </w:pPr>
      <w:r>
        <w:t xml:space="preserve">6. Lehrgang von zwei Studienhalbjahren in bestimmten Fachrichtungen zur Erlangung der Fachhochschulreife,</w:t>
      </w:r>
    </w:p>
    <w:p>
      <w:pPr>
        <w:ind w:left="420"/>
      </w:pPr>
      <w:r>
        <w:t xml:space="preserve">7. Maßnahmen der beruflichen Aus-, Fort- und Weiterbildung,</w:t>
      </w:r>
    </w:p>
    <w:p>
      <w:pPr>
        <w:ind w:left="420"/>
      </w:pPr>
      <w:r>
        <w:t xml:space="preserve">8. Lehrgang zur Erlangung des Hauptschulabschlusses,</w:t>
      </w:r>
    </w:p>
    <w:p>
      <w:pPr>
        <w:ind w:left="420"/>
      </w:pPr>
      <w:r>
        <w:t xml:space="preserve">9. Lehrgang zur Vorbereitung auf Einstellungsprüfungen,</w:t>
      </w:r>
    </w:p>
    <w:p>
      <w:pPr>
        <w:ind w:left="420"/>
      </w:pPr>
      <w:r>
        <w:t xml:space="preserve">10. Studienkurse zur Vorbereitung auf Studiengänge oder vergleichbare Ausbildungen.</w:t>
      </w:r>
    </w:p>
    <w:p>
      <w:r>
        <w:t xml:space="preserve">Die Lehrgänge nach Satz 1 Nummer 1 bis 6 und 8 bis 10 sind</w:t>
      </w:r>
    </w:p>
    <w:p>
      <w:pPr>
        <w:ind w:left="420"/>
      </w:pPr>
      <w:r>
        <w:t xml:space="preserve">1. schulische Maßnahmen im Sinne des § 7 Absatz 3 des Soldatenversorgungsgesetzes,</w:t>
      </w:r>
    </w:p>
    <w:p>
      <w:pPr>
        <w:ind w:left="420"/>
      </w:pPr>
      <w:r>
        <w:t xml:space="preserve">2. Maßnahmen der schulischen Bildung im Sinne des § 8 Absatz 1 Satz 1 des Soldatenversorgungsgesetzes.</w:t>
      </w:r>
    </w:p>
    <w:p>
      <w:r>
        <w:t xml:space="preserve">Bei diesen Maßnahmen wird der Ausbildungsort vorgegeben.</w:t>
      </w:r>
    </w:p>
    <w:p>
      <w:r>
        <w:t xml:space="preserve">(2) Die Lehrgänge werden nur bei einer ausreichenden Anzahl von Teilnehmenden eingerichtet. Der Grundsatz der Wirtschaftlichkeit und Sparsamkeit ist zu beachten. Ein Anspruch auf Einrichtung bestimmter Lehrgänge besteht nicht.</w:t>
      </w:r>
    </w:p>
    <w:p>
      <w:r>
        <w:t xml:space="preserve">(3) Die Zulassung zu den Lehrgängen setzt folgende schulische Vorbildung voraus:</w:t>
      </w:r>
    </w:p>
    <w:p>
      <w:pPr>
        <w:ind w:left="420"/>
      </w:pPr>
      <w:r>
        <w:t xml:space="preserve">1. für den Vorkurs nach Absatz 1 Satz 1 Nr. 3: mittlerer Schulabschluss oder gleichwertiger Bildungsstand,</w:t>
      </w:r>
    </w:p>
    <w:p>
      <w:pPr>
        <w:ind w:left="420"/>
      </w:pPr>
      <w:r>
        <w:t xml:space="preserve">2. für den Lehrgang nach Absatz 1 Satz 1 Nr. 4: Hauptschulabschluss oder gleichwertiger Bildungsabschluss sowie Grundkenntnisse im Fach Englisch,</w:t>
      </w:r>
    </w:p>
    <w:p>
      <w:pPr>
        <w:ind w:left="420"/>
      </w:pPr>
      <w:r>
        <w:t xml:space="preserve">3. für den Lehrgang nach Absatz 1 Satz 1 Nr. 5: Hauptschulabschluss oder gleichwertiger Bildungsabschluss sowie Grundkenntnisse im Fach Englisch,</w:t>
      </w:r>
    </w:p>
    <w:p>
      <w:pPr>
        <w:ind w:left="420"/>
      </w:pPr>
      <w:r>
        <w:t xml:space="preserve">4. für den Lehrgang nach Absatz 1 Satz 1 Nr. 6: mittlerer Schulabschluss oder gleichwertiger Bildungsstand.</w:t>
      </w:r>
    </w:p>
    <w:p>
      <w:r>
        <w:t xml:space="preserve">Für Maßnahmen nach Absatz 1 Satz 1 Nummer 7 gelten die von der zuständigen Stelle festgelegten Zugangsvoraussetzungen. Die erforderliche Vorbildung ist durch Vorlage der Zeugnisse oder entsprechender Urkunden nachzuweisen.</w:t>
      </w:r>
    </w:p>
    <w:p>
      <w:r>
        <w:t xml:space="preserve">(4) Die Lehrgänge nach Absatz 1 Satz 1 Nr. 5 und 6 setzen eine abgeschlossene einschlägige Berufsausbildung oder eine mehrjährige einschlägige Berufstätigkeit voraus. Die endgültige Zulassung kann von einer erfolgreichen Probezeit oder Eignungsfeststellung abhängig gemacht werden.</w:t>
      </w:r>
    </w:p>
    <w:p>
      <w:r>
        <w:t xml:space="preserve">(5) Studienkurse nach Absatz 1 Satz 1 Nummer 10 dauern</w:t>
      </w:r>
    </w:p>
    <w:p>
      <w:pPr>
        <w:ind w:left="420"/>
      </w:pPr>
      <w:r>
        <w:t xml:space="preserve">1. für Förderungsberechtigte, die die Fachhochschulreife nach Absatz 1 Satz 1 Nummer 6 im Rahmen der Förderung nach § 7 des Soldatenversorgungsgesetzes erworben haben und im folgenden Schulhalbjahr einen Studienkurs besuchen wollen, in der Regel drei Monate,</w:t>
      </w:r>
    </w:p>
    <w:p>
      <w:pPr>
        <w:ind w:left="420"/>
      </w:pPr>
      <w:r>
        <w:t xml:space="preserve">2. für andere Förderungsberechtigte mit einer Hochschulzugangsberechtigung höchstens zwölf Monate.</w:t>
      </w:r>
    </w:p>
    <w:p>
      <w:r>
        <w:rPr>
          <w:color w:val="555555"/>
          <w:sz w:val="17"/>
        </w:rPr>
        <w:t xml:space="preserve">Zitiervorschlag: § 9 BföV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https://recht.nulegal.eu/gesetze/Bf%C3%B6V/9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