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BföV — Voraussetzungen der Förderungsfähigkeit</w:t>
      </w:r>
    </w:p>
    <w:p>
      <w:r>
        <w:rPr>
          <w:color w:val="555555"/>
          <w:sz w:val="18"/>
        </w:rPr>
        <w:t xml:space="preserve">Berufsförderungsverordnung</w:t>
      </w:r>
    </w:p>
    <w:p>
      <w:r>
        <w:rPr>
          <w:color w:val="555555"/>
          <w:sz w:val="18"/>
        </w:rPr>
        <w:t xml:space="preserve">Stand: 10.06.2019 (konsolidierte Textfassung, kein amtliches Inkrafttretensdatum)</w:t>
      </w:r>
    </w:p>
    <w:p>
      <w:r>
        <w:t xml:space="preserve">(1) Förderungsfähig sind Bildungsmaßnahmen fachberuflicher und berufsübergreifender Art. Soweit dies im Einzelfall nach dem Förderungsplan notwendig ist, kann im Rahmen der dienstzeitbegleitenden Förderung auch schulische Bildung gefördert werden. § 17 gilt entsprechend.</w:t>
      </w:r>
    </w:p>
    <w:p>
      <w:r>
        <w:t xml:space="preserve">(2) Nicht förderungsfähig sind</w:t>
      </w:r>
    </w:p>
    <w:p>
      <w:pPr>
        <w:ind w:left="420"/>
      </w:pPr>
      <w:r>
        <w:t xml:space="preserve">1. Maßnahmen, die ausschließlich der Persönlichkeitsbildung dienen oder dem Freizeitbereich zuzuordnen sind,</w:t>
      </w:r>
    </w:p>
    <w:p>
      <w:pPr>
        <w:ind w:left="420"/>
      </w:pPr>
      <w:r>
        <w:t xml:space="preserve">2. wissenschaftliche Ausarbeitungen sowie Lernvorgänge, die nicht in einem pädagogisch gestalteten Lehr- und Lernprozess stattfinden, und</w:t>
      </w:r>
    </w:p>
    <w:p>
      <w:pPr>
        <w:ind w:left="420"/>
      </w:pPr>
      <w:r>
        <w:t xml:space="preserve">3. Maßnahmen, die gegen deutsches Recht oder Recht der Europäischen Union verstoßen.</w:t>
      </w:r>
    </w:p>
    <w:p>
      <w:r>
        <w:t xml:space="preserve">(3) Dienstzeitbegleitende Förderung außerhalb der Europäischen Union darf nur dort stationierten Förderungsberechtigten und nur im jeweiligen Aufnahmestaat gewährt werden. Ausnahmen bedürfen der Zustimmung des Bundesministeriums der Verteidigung oder der von ihm benannten Stelle.</w:t>
      </w:r>
    </w:p>
    <w:p>
      <w:r>
        <w:t xml:space="preserve">(4) (weggefallen)</w:t>
      </w:r>
    </w:p>
    <w:p>
      <w:r>
        <w:rPr>
          <w:color w:val="555555"/>
          <w:sz w:val="17"/>
        </w:rPr>
        <w:t xml:space="preserve">Zitiervorschlag: § 4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