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BföV — Übergangsregelungen</w:t>
      </w:r>
    </w:p>
    <w:p>
      <w:r>
        <w:rPr>
          <w:color w:val="555555"/>
          <w:sz w:val="18"/>
        </w:rPr>
        <w:t xml:space="preserve">Berufsförderungsverordnung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(1) Für Soldatinnen auf Zeit und Soldaten auf Zeit, für die nach § 126 des Soldatenversorgungsgesetzes das Soldatenversorgungsgesetz in der bis zum 25. Juli 2012 geltenden Fassung gilt, sind § 4 Absatz 4, § 5 Absatz 2, die §§ 16 und 19 Absatz 2, § 27 Absatz 2, § 34 Absatz 1 und 2 sowie § 35 Absatz 1 in der bis zum 27. August 2015 geltenden Fassung weiter anzuwenden.</w:t>
      </w:r>
    </w:p>
    <w:p>
      <w:r>
        <w:t xml:space="preserve">(2) § 6 Absatz 1 Satz 2 ist erstmalig anzuwenden bei Maßnahmen, die ab dem 1. Oktober 2019 beginnen.</w:t>
      </w:r>
    </w:p>
    <w:p>
      <w:r>
        <w:rPr>
          <w:color w:val="555555"/>
          <w:sz w:val="17"/>
        </w:rPr>
        <w:t xml:space="preserve">Zitiervorschlag: § 38 BföV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https://recht.nulegal.eu/gesetze/Bf%C3%B6V/38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