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BföV — Erstattung von Aufwendungen für die Berufsberatung</w:t>
      </w:r>
    </w:p>
    <w:p>
      <w:r>
        <w:rPr>
          <w:color w:val="555555"/>
          <w:sz w:val="18"/>
        </w:rPr>
        <w:t xml:space="preserve">Berufsförderungsverordnung</w:t>
      </w:r>
    </w:p>
    <w:p>
      <w:r>
        <w:rPr>
          <w:color w:val="555555"/>
          <w:sz w:val="18"/>
        </w:rPr>
        <w:t xml:space="preserve">Stand: 01.01.2025 (konsolidierte Textfassung, kein amtliches Inkrafttretensdatum)</w:t>
      </w:r>
    </w:p>
    <w:p>
      <w:r>
        <w:t xml:space="preserve">(1) Hat die Soldatin auf Zeit oder der Soldat auf Zeit die Wehrdienstzeit beendet und ist ihr oder ihm gestattet worden, von einem auswärtigen Wohn-, Maßnahme- oder Arbeitsort zur Berufsberatung anzureisen, so werden die Aufwendungen für Fahrten zum und vom nächstgelegenen Beratungsort erstattet. Der Umfang der Erstattung richtet sich nach den für die Beamtinnen und Beamten des Bundes geltenden reisekostenrechtlichen Vorschriften.</w:t>
      </w:r>
    </w:p>
    <w:p>
      <w:r>
        <w:t xml:space="preserve">(2) Soldatinnen auf Zeit und Soldaten auf Zeit mit einer Verpflichtungszeit von mindestens vier Jahren können auf Antrag für die Teilnahme von Personen nach § 2 Absatz 3 Satz 2 an einem gemeinsamen Beratungsgespräch im Inland Kosten in entsprechender Anwendung des § 8 Absatz 3 des Soldatenversorgungsgesetzes erstattet werden. Der Antrag ist nur zulässig, wenn er vor dem Beratungsgespräch gestellt wird. Absatz 1 gilt entsprechend.</w:t>
      </w:r>
    </w:p>
    <w:p>
      <w:r>
        <w:rPr>
          <w:color w:val="555555"/>
          <w:sz w:val="17"/>
        </w:rPr>
        <w:t xml:space="preserve">Zitiervorschlag: § 2a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