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BföV — Bestandteile der Bewilligungen nach § 7 des Soldatenversorgungsgesetzes</w:t>
      </w:r>
    </w:p>
    <w:p>
      <w:r>
        <w:rPr>
          <w:color w:val="555555"/>
          <w:sz w:val="18"/>
        </w:rPr>
        <w:t xml:space="preserve">Berufsförderungsverordnung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Eine bewilligte Förderung kann auch mit Wirkung für die Vergangenheit widerrufen werden, wenn</w:t>
      </w:r>
    </w:p>
    <w:p>
      <w:pPr>
        <w:ind w:left="420"/>
      </w:pPr>
      <w:r>
        <w:t xml:space="preserve">1. aufgrund der Leistungen oder des Verhaltens der Förderungsberechtigten,</w:t>
      </w:r>
    </w:p>
    <w:p>
      <w:pPr>
        <w:ind w:left="420"/>
      </w:pPr>
      <w:r>
        <w:t xml:space="preserve">2. wegen nicht hinreichender Eignung der Ausbildungsstätte,</w:t>
      </w:r>
    </w:p>
    <w:p>
      <w:pPr>
        <w:ind w:left="420"/>
      </w:pPr>
      <w:r>
        <w:t xml:space="preserve">3. wegen anhaltender Verletzung der Pflichten nach § 28 Abs. 1 bis 4 oder</w:t>
      </w:r>
    </w:p>
    <w:p>
      <w:pPr>
        <w:ind w:left="420"/>
      </w:pPr>
      <w:r>
        <w:t xml:space="preserve">4. aus sonstigen Gründen</w:t>
      </w:r>
    </w:p>
    <w:p>
      <w:r>
        <w:t xml:space="preserve">nicht erwartet werden kann, dass das Ziel der Bildungsmaßnahme erreicht wird. Die Bewilligung der Förderung kann auch bei Neufestsetzung der Verpflichtungszeit oder Änderung des Dienstzeitendes widerrufen werden.</w:t>
      </w:r>
    </w:p>
    <w:p>
      <w:r>
        <w:t xml:space="preserve">(2) Eine bewilligte Förderung endet bei</w:t>
      </w:r>
    </w:p>
    <w:p>
      <w:pPr>
        <w:ind w:left="420"/>
      </w:pPr>
      <w:r>
        <w:t xml:space="preserve">1. Ernennung zur Berufssoldatin oder zum Berufssoldaten,</w:t>
      </w:r>
    </w:p>
    <w:p>
      <w:pPr>
        <w:ind w:left="420"/>
      </w:pPr>
      <w:r>
        <w:t xml:space="preserve">2. Entlassung aus der Bundeswehr unter Verlust der Ansprüche auf Berufsförderung,</w:t>
      </w:r>
    </w:p>
    <w:p>
      <w:pPr>
        <w:ind w:left="420"/>
      </w:pPr>
      <w:r>
        <w:t xml:space="preserve">3. Nichtteilnahme an der Berufsbildungsmaßnahme oder</w:t>
      </w:r>
    </w:p>
    <w:p>
      <w:pPr>
        <w:ind w:left="420"/>
      </w:pPr>
      <w:r>
        <w:t xml:space="preserve">4. Entstehen des Rechts aus dem Eingliederungsschein.</w:t>
      </w:r>
    </w:p>
    <w:p>
      <w:r>
        <w:t xml:space="preserve">Bereits entstandene Kosten werden im Fall der Nummern 1 und 4 gegen Nachweis erstattet; dies gilt auch für zwingend notwendige Kosten, die vor Antritt einer Maßnahme entstanden sind.</w:t>
      </w:r>
    </w:p>
    <w:p>
      <w:r>
        <w:rPr>
          <w:color w:val="555555"/>
          <w:sz w:val="17"/>
        </w:rPr>
        <w:t xml:space="preserve">Zitiervorschlag: § 29 BföV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https://recht.nulegal.eu/gesetze/Bf%C3%B6V/29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