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BföV — Verbrauch und Verlängerung der Förderungszeiten</w:t>
      </w:r>
    </w:p>
    <w:p>
      <w:r>
        <w:rPr>
          <w:color w:val="555555"/>
          <w:sz w:val="18"/>
        </w:rPr>
        <w:t xml:space="preserve">Berufsförderungsverordnung</w:t>
      </w:r>
    </w:p>
    <w:p>
      <w:r>
        <w:rPr>
          <w:color w:val="555555"/>
          <w:sz w:val="18"/>
        </w:rPr>
        <w:t xml:space="preserve">Stand: 16.08.2019 (konsolidierte Textfassung, kein amtliches Inkrafttretensdatum)</w:t>
      </w:r>
    </w:p>
    <w:p>
      <w:r>
        <w:t xml:space="preserve">Bei der Berechnung des zeitlichen Umfanges des Verbrauchs sind im Bewilligungsbescheid die Gesamtdauer der bewilligten Maßnahme und bei Beendigung der Maßnahme die Zeiträume der Teilnahme voll zugrunde zu legen, unabhängig davon, ob die Berufsbildungsmaßnahme an einzelnen Wochentagen, halbtags oder stundenweise durchgeführt wird. Maßnahmen der schulischen und beruflichen Bildung sind grundsätzlich unterbrechungsfrei zu fördern. Auf Antrag können unterrichtsfreie Zeiten einer Maßnahme aus der Förderung ausgeklammert werden, soweit dies nach der Förderungsplanung zur Erreichung des Eingliederungsziels zwingend notwendig ist. Unzulässig ist die Beschränkung der Förderung auf kostenintensive Teile der Maßnahme.</w:t>
      </w:r>
    </w:p>
    <w:p>
      <w:r>
        <w:rPr>
          <w:color w:val="555555"/>
          <w:sz w:val="17"/>
        </w:rPr>
        <w:t xml:space="preserve">Zitiervorschlag: § 27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