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23 BföV — Reise- und Trennungsauslagen</w:t>
      </w:r>
    </w:p>
    <w:p>
      <w:r>
        <w:rPr>
          <w:color w:val="555555"/>
          <w:sz w:val="18"/>
        </w:rPr>
        <w:t xml:space="preserve">Berufsförderungsverordnung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Bei der Förderung einer Maßnahme der beruflichen Bildung sind die für die Beamtinnen und Beamten des Bundes geltenden reise- und trennungsgeldrechtlichen Vorschriften anzuwenden.</w:t>
      </w:r>
    </w:p>
    <w:p>
      <w:r>
        <w:t xml:space="preserve">(2) Wird eine Maßnahme der beruflichen Bildung im Ausland durchgeführt, richten sich die Reisekostenvergütung und der Trennungsgeldbezug nach den für das Inland geltenden Bestimmungen, ohne dass ein Kaufkraftausgleich gewährt wird.</w:t>
      </w:r>
    </w:p>
    <w:p>
      <w:r>
        <w:t xml:space="preserve">(3) Den Förderungsberechtigten können zusätzliche Nachweispflichten auferlegt werden, insbesondere die Pflicht, die ordnungsgemäße Teilnahme nachzuweisen.</w:t>
      </w:r>
    </w:p>
    <w:p>
      <w:r>
        <w:rPr>
          <w:color w:val="555555"/>
          <w:sz w:val="17"/>
        </w:rPr>
        <w:t xml:space="preserve">Zitiervorschlag: § 23 BföV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https://recht.nulegal.eu/gesetze/Bf%C3%B6V/23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