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BföV — Antragstellung</w:t>
      </w:r>
    </w:p>
    <w:p>
      <w:r>
        <w:rPr>
          <w:color w:val="555555"/>
          <w:sz w:val="18"/>
        </w:rPr>
        <w:t xml:space="preserve">Berufsförderungsverordnung</w:t>
      </w:r>
    </w:p>
    <w:p>
      <w:r>
        <w:rPr>
          <w:color w:val="555555"/>
          <w:sz w:val="18"/>
        </w:rPr>
        <w:t xml:space="preserve">Stand: 16.08.2019 (konsolidierte Textfassung, kein amtliches Inkrafttretensdatum)</w:t>
      </w:r>
    </w:p>
    <w:p>
      <w:r>
        <w:t xml:space="preserve">(1) Die Förderung ist vor Beginn der Maßnahme schriftlich oder elektronisch zu beantragen. Wird der Antrag verspätet gestellt und eine Wiedereinsetzung in den vorigen Stand nach § 32 des Verwaltungsverfahrensgesetzes nicht gewährt, ist eine anteilige Förderung ab Antragseingang möglich.</w:t>
      </w:r>
    </w:p>
    <w:p>
      <w:r>
        <w:t xml:space="preserve">(2) Die Antragstellerin oder der Antragsteller hat die zur Entscheidung über den Antrag erforderlichen Unterlagen vorzulegen. Welche Unterlagen vorzulegen sind, bestimmt das Karrierecenter der Bundeswehr – Berufsförderungsdienst – nach den Umständen des Einzelfalls.</w:t>
      </w:r>
    </w:p>
    <w:p>
      <w:r>
        <w:rPr>
          <w:color w:val="555555"/>
          <w:sz w:val="17"/>
        </w:rPr>
        <w:t xml:space="preserve">Zitiervorschlag: § 17 BföV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https://recht.nulegal.eu/gesetze/Bf%C3%B6V/17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