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BföV — Form und Fristen</w:t>
      </w:r>
    </w:p>
    <w:p>
      <w:r>
        <w:rPr>
          <w:color w:val="555555"/>
          <w:sz w:val="18"/>
        </w:rPr>
        <w:t xml:space="preserve">Berufsförderungsverordnung</w:t>
      </w:r>
    </w:p>
    <w:p>
      <w:r>
        <w:rPr>
          <w:color w:val="555555"/>
          <w:sz w:val="18"/>
        </w:rPr>
        <w:t xml:space="preserve">Stand: 16.08.2019 (konsolidierte Textfassung, kein amtliches Inkrafttretensdatum)</w:t>
      </w:r>
    </w:p>
    <w:p>
      <w:r>
        <w:t xml:space="preserve">(1) Förderungsberechtigte haben dem Karrierecenter der Bundeswehr – Berufsförderungsdienst – spätestens sieben Monate vor Beginn der schulischen Maßnahme schriftlich oder elektronisch mitzuteilen, welchen Lehrgang einer Bundeswehrfachschule sie besuchen wollen.</w:t>
      </w:r>
    </w:p>
    <w:p>
      <w:r>
        <w:t xml:space="preserve">(2) Das Karrierecenter der Bundeswehr – Berufsförderungsdienst – benennt die an Lehrgängen teilnehmenden Förderungsberechtigten der Schulaufsichtsbehörde der Bundeswehrverwaltung (Schulaufsichtsbehörde) frühestens neun und spätestens fünf Monate vor Beginn der geplanten schulischen Maßnahme. Die Schulaufsichtsbehörde teilt den Förderungsberechtigten und nachrichtlich dem Karrierecenter der Bundeswehr – Berufsförderungsdienst – spätestens zwei Monate vor Beginn der schulischen Maßnahme die Bundeswehrfachschule und die Lehrgangsart mit. Nehmen Förderungsberechtigte vor dem Dienstzeitende an dem Lehrgang teil, veranlasst die Schulaufsichtsbehörde, soweit erforderlich, die Kommandierung zu der zuständigen militärischen Betreuungsstelle.</w:t>
      </w:r>
    </w:p>
    <w:p>
      <w:r>
        <w:t xml:space="preserve">(3) Von den Fristen der Absätze 1 und 2 kann in begründeten Einzelfällen abgewichen werden.</w:t>
      </w:r>
    </w:p>
    <w:p>
      <w:r>
        <w:rPr>
          <w:color w:val="555555"/>
          <w:sz w:val="17"/>
        </w:rPr>
        <w:t xml:space="preserve">Zitiervorschlag: § 13 BföV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https://recht.nulegal.eu/gesetze/Bf%C3%B6V/13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