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BföV — Zahl der Unterrichtsstunden</w:t>
      </w:r>
    </w:p>
    <w:p>
      <w:r>
        <w:rPr>
          <w:color w:val="555555"/>
          <w:sz w:val="18"/>
        </w:rPr>
        <w:t xml:space="preserve">Berufsförderungsverordnung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Ein Studienhalbjahr an einer Bundeswehrfachschule umfasst je nach Lehrgang bis zu 750 Unterrichtsstunden.</w:t>
      </w:r>
    </w:p>
    <w:p>
      <w:r>
        <w:rPr>
          <w:color w:val="555555"/>
          <w:sz w:val="17"/>
        </w:rPr>
        <w:t xml:space="preserve">Zitiervorschlag: § 10 BföV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https://recht.nulegal.eu/gesetze/Bf%C3%B6V/10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