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BezWG (Bayern) — Zahl der Bezirksrätinnen und Bezirksräte</w:t>
      </w:r>
    </w:p>
    <w:p>
      <w:r>
        <w:rPr>
          <w:color w:val="555555"/>
          <w:sz w:val="18"/>
        </w:rPr>
        <w:t xml:space="preserve">Bezirkswahlgesetz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den Bezirkstag sind so viele Bezirksrätinnen und Bezirksräte zu wählen wie Landtagsabgeordnete nach dem Landeswahlgesetz auf den Bezirk treffen (Art. 23 Abs. 2 BezO).</w:t>
      </w:r>
    </w:p>
    <w:p>
      <w:r>
        <w:t xml:space="preserve">(2) In den Stimmkreisen wird je eine Bezirksrätin oder ein Bezirksrat gewählt. Die übrigen Bezirksrätinnen und Bezirksräte werden im Wahlkreis aus den Wahlkreislisten der einzelnen Wahlkreisvorschläge gewählt.</w:t>
      </w:r>
    </w:p>
    <w:p>
      <w:r>
        <w:rPr>
          <w:color w:val="555555"/>
          <w:sz w:val="17"/>
        </w:rPr>
        <w:t xml:space="preserve">Zitiervorschlag: Art 3 BezWG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https://recht.nulegal.eu/gesetze/BezWG/3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