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BezO (Bayern) — Vertretung des Bezirks in Unternehmen in Privatrechtsform</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Bezirkstagspräsidentin oder der Bezirkstagspräsident vertritt den Bezirk in der Gesellschafterversammlung oder einem entsprechenden Organ. Mit Zustimmung der Bezirkstagspräsidentin oder des Bezirkstagspräsidenten und ihrer gewählten Stellvertretung kann der Bezirkstag eine andere Person zur Vertretung widerruflich bestellen.</w:t>
      </w:r>
    </w:p>
    <w:p>
      <w:r>
        <w:t xml:space="preserve">(2) Der Bezirk soll bei der Ausgestaltung des Gesellschaftsvertrags oder der Satzung darauf hinwirken, daß ihm das Recht eingeräumt wird, Mitglieder in einen Aufsichtsrat oder ein entsprechendes Gremium zu entsenden, soweit das zur Sicherung eines angemessenen Einflusses notwendig ist. Vorbehaltlich entgegenstehender gesetzlicher Vorschriften haben Personen, die vom Bezirk entsandt oder auf seine Veranlassung gewählt worden sind, den Bezirk über alle wichtigen Angelegenheiten möglichst frühzeitig zu unterrichten und ihm auf Verlangen Auskunft zu erteilen. Soweit zulässig, soll sich der Bezirk ihnen gegenüber Weisungsrechte im Gesellschaftsvertrag oder der Satzung vorbehalten.</w:t>
      </w:r>
    </w:p>
    <w:p>
      <w:r>
        <w:t xml:space="preserve">(3) Wird die Person, die den Bezirk vertritt oder werden die in Absatz 2 genannten Personen aus ihrer Tätigkeit haftbar gemacht, stellt der Bezirk sie von der Haftung frei. Bei Vorsatz oder grober Fahrlässigkeit kann der Bezirk Rückgriff nehmen, es sei denn, das schädigende Verhalten beruhte auf seiner Weisung. Die Sätze 1 und 2 gelten entsprechend für Personen, die auf Veranlassung des Bezirks als nebenamtliche Mitglieder des geschäftsführenden Unternehmensorgans bestellt sind.</w:t>
      </w:r>
    </w:p>
    <w:p>
      <w:r>
        <w:rPr>
          <w:color w:val="555555"/>
          <w:sz w:val="17"/>
        </w:rPr>
        <w:t xml:space="preserve">Zitiervorschlag: Art 79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